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B0CC2" w14:textId="77777777" w:rsidR="000112C0" w:rsidRPr="009434B4" w:rsidRDefault="000112C0" w:rsidP="009434B4">
      <w:pPr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9434B4">
        <w:rPr>
          <w:rFonts w:ascii="Verdana" w:hAnsi="Verdana"/>
          <w:b/>
          <w:sz w:val="20"/>
          <w:szCs w:val="20"/>
        </w:rPr>
        <w:t>Service Contract Checklist</w:t>
      </w:r>
    </w:p>
    <w:p w14:paraId="0FA551C3" w14:textId="77777777" w:rsidR="000112C0" w:rsidRPr="009434B4" w:rsidRDefault="001129DD">
      <w:pPr>
        <w:rPr>
          <w:rFonts w:ascii="Verdana" w:hAnsi="Verdana"/>
          <w:b/>
          <w:sz w:val="20"/>
          <w:szCs w:val="20"/>
        </w:rPr>
      </w:pPr>
      <w:r w:rsidRPr="009434B4"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17DACF93" wp14:editId="19441051">
                <wp:extent cx="5577840" cy="0"/>
                <wp:effectExtent l="0" t="0" r="10160" b="12700"/>
                <wp:docPr id="2" name="Line 3" descr="Divider Line" title="Divider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9A81A8A" id="Line 3" o:spid="_x0000_s1026" alt="Title: Divider Line - Description: Divider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39.2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">
                <o:lock v:ext="edit" shapetype="f"/>
                <w10:anchorlock/>
              </v:line>
            </w:pict>
          </mc:Fallback>
        </mc:AlternateContent>
      </w:r>
      <w:r w:rsidRPr="009434B4"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84C1CC6" wp14:editId="7AF8CDB7">
                <wp:simplePos x="0" y="0"/>
                <wp:positionH relativeFrom="column">
                  <wp:posOffset>-45720</wp:posOffset>
                </wp:positionH>
                <wp:positionV relativeFrom="paragraph">
                  <wp:posOffset>102870</wp:posOffset>
                </wp:positionV>
                <wp:extent cx="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F56D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8.1pt" to="-3.6pt,8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" o:allowincell="f">
                <o:lock v:ext="edit" shapetype="f"/>
              </v:line>
            </w:pict>
          </mc:Fallback>
        </mc:AlternateContent>
      </w:r>
    </w:p>
    <w:p w14:paraId="543E4CCD" w14:textId="77777777" w:rsidR="005A798F" w:rsidRPr="009434B4" w:rsidRDefault="005A798F" w:rsidP="005A798F">
      <w:pPr>
        <w:rPr>
          <w:rFonts w:ascii="Verdana" w:hAnsi="Verdana"/>
          <w:sz w:val="20"/>
          <w:szCs w:val="20"/>
        </w:rPr>
      </w:pPr>
      <w:r w:rsidRPr="009434B4">
        <w:rPr>
          <w:rFonts w:ascii="Verdana" w:hAnsi="Verdana"/>
          <w:sz w:val="20"/>
          <w:szCs w:val="20"/>
        </w:rPr>
        <w:t>The following general terms should be considered when review</w:t>
      </w:r>
      <w:r w:rsidR="00EE74FB" w:rsidRPr="009434B4">
        <w:rPr>
          <w:rFonts w:ascii="Verdana" w:hAnsi="Verdana"/>
          <w:sz w:val="20"/>
          <w:szCs w:val="20"/>
        </w:rPr>
        <w:t>ing a contract for</w:t>
      </w:r>
      <w:r w:rsidR="00211E78" w:rsidRPr="009434B4">
        <w:rPr>
          <w:rFonts w:ascii="Verdana" w:hAnsi="Verdana"/>
          <w:sz w:val="20"/>
          <w:szCs w:val="20"/>
        </w:rPr>
        <w:t xml:space="preserve"> </w:t>
      </w:r>
      <w:r w:rsidR="00EE74FB" w:rsidRPr="009434B4">
        <w:rPr>
          <w:rFonts w:ascii="Verdana" w:hAnsi="Verdana"/>
          <w:sz w:val="20"/>
          <w:szCs w:val="20"/>
        </w:rPr>
        <w:t>services</w:t>
      </w:r>
      <w:r w:rsidR="00211E78" w:rsidRPr="009434B4">
        <w:rPr>
          <w:rFonts w:ascii="Verdana" w:hAnsi="Verdana"/>
          <w:sz w:val="20"/>
          <w:szCs w:val="20"/>
        </w:rPr>
        <w:t xml:space="preserve"> and/or</w:t>
      </w:r>
      <w:r w:rsidRPr="009434B4">
        <w:rPr>
          <w:rFonts w:ascii="Verdana" w:hAnsi="Verdana"/>
          <w:sz w:val="20"/>
          <w:szCs w:val="20"/>
        </w:rPr>
        <w:t xml:space="preserve"> </w:t>
      </w:r>
      <w:r w:rsidR="00211E78" w:rsidRPr="009434B4">
        <w:rPr>
          <w:rFonts w:ascii="Verdana" w:hAnsi="Verdana"/>
          <w:sz w:val="20"/>
          <w:szCs w:val="20"/>
        </w:rPr>
        <w:t xml:space="preserve">an </w:t>
      </w:r>
      <w:r w:rsidRPr="009434B4">
        <w:rPr>
          <w:rFonts w:ascii="Verdana" w:hAnsi="Verdana"/>
          <w:sz w:val="20"/>
          <w:szCs w:val="20"/>
        </w:rPr>
        <w:t>agreement for the maintenance of equipment:</w:t>
      </w:r>
    </w:p>
    <w:p w14:paraId="75153FB1" w14:textId="77777777" w:rsidR="005A798F" w:rsidRPr="009434B4" w:rsidRDefault="005A798F" w:rsidP="005A798F">
      <w:pPr>
        <w:rPr>
          <w:rFonts w:ascii="Verdana" w:hAnsi="Verdana"/>
          <w:sz w:val="20"/>
          <w:szCs w:val="20"/>
        </w:rPr>
      </w:pPr>
    </w:p>
    <w:p w14:paraId="4B3966BB" w14:textId="77777777" w:rsidR="00211E78" w:rsidRPr="009434B4" w:rsidRDefault="005A798F" w:rsidP="00211E78">
      <w:pPr>
        <w:numPr>
          <w:ilvl w:val="0"/>
          <w:numId w:val="4"/>
        </w:numPr>
        <w:tabs>
          <w:tab w:val="clear" w:pos="1080"/>
          <w:tab w:val="num" w:pos="360"/>
        </w:tabs>
        <w:ind w:left="360"/>
        <w:rPr>
          <w:rFonts w:ascii="Verdana" w:hAnsi="Verdana"/>
          <w:sz w:val="20"/>
          <w:szCs w:val="20"/>
        </w:rPr>
      </w:pPr>
      <w:r w:rsidRPr="009434B4">
        <w:rPr>
          <w:rFonts w:ascii="Verdana" w:hAnsi="Verdana"/>
          <w:b/>
          <w:sz w:val="20"/>
          <w:szCs w:val="20"/>
        </w:rPr>
        <w:t>Services Definition</w:t>
      </w:r>
      <w:r w:rsidR="00005068" w:rsidRPr="009434B4">
        <w:rPr>
          <w:rFonts w:ascii="Verdana" w:hAnsi="Verdana"/>
          <w:sz w:val="20"/>
          <w:szCs w:val="20"/>
        </w:rPr>
        <w:t>:</w:t>
      </w:r>
      <w:r w:rsidRPr="009434B4">
        <w:rPr>
          <w:rFonts w:ascii="Verdana" w:hAnsi="Verdana"/>
          <w:sz w:val="20"/>
          <w:szCs w:val="20"/>
        </w:rPr>
        <w:t xml:space="preserve">  Ensure that the agreement identifies the services with specificity.  The agreement should very clearly state what services will be provided, and what equipment will be maintained under the agreement.</w:t>
      </w:r>
    </w:p>
    <w:p w14:paraId="7426F078" w14:textId="77777777" w:rsidR="00211E78" w:rsidRPr="009434B4" w:rsidRDefault="00211E78" w:rsidP="00211E78">
      <w:pPr>
        <w:rPr>
          <w:rFonts w:ascii="Verdana" w:hAnsi="Verdana"/>
          <w:sz w:val="20"/>
          <w:szCs w:val="20"/>
        </w:rPr>
      </w:pPr>
    </w:p>
    <w:p w14:paraId="14E411F3" w14:textId="77777777" w:rsidR="00566BE7" w:rsidRPr="009434B4" w:rsidRDefault="00211E78" w:rsidP="00211E78">
      <w:pPr>
        <w:numPr>
          <w:ilvl w:val="0"/>
          <w:numId w:val="6"/>
        </w:numPr>
        <w:rPr>
          <w:rFonts w:ascii="Verdana" w:hAnsi="Verdana"/>
          <w:b/>
          <w:sz w:val="20"/>
          <w:szCs w:val="20"/>
        </w:rPr>
      </w:pPr>
      <w:r w:rsidRPr="009434B4">
        <w:rPr>
          <w:rFonts w:ascii="Verdana" w:hAnsi="Verdana"/>
          <w:b/>
          <w:sz w:val="20"/>
          <w:szCs w:val="20"/>
        </w:rPr>
        <w:t>Payment</w:t>
      </w:r>
      <w:r w:rsidR="00566BE7" w:rsidRPr="009434B4">
        <w:rPr>
          <w:rFonts w:ascii="Verdana" w:hAnsi="Verdana"/>
          <w:b/>
          <w:sz w:val="20"/>
          <w:szCs w:val="20"/>
        </w:rPr>
        <w:t>s</w:t>
      </w:r>
      <w:r w:rsidRPr="009434B4">
        <w:rPr>
          <w:rFonts w:ascii="Verdana" w:hAnsi="Verdana"/>
          <w:sz w:val="20"/>
          <w:szCs w:val="20"/>
        </w:rPr>
        <w:t>: Ensure that the vendor is paid as they perform under the contract and not paid full value in advance prior to performance of services.</w:t>
      </w:r>
      <w:r w:rsidRPr="009434B4">
        <w:rPr>
          <w:rFonts w:ascii="Verdana" w:hAnsi="Verdana"/>
          <w:b/>
          <w:sz w:val="20"/>
          <w:szCs w:val="20"/>
        </w:rPr>
        <w:t xml:space="preserve"> </w:t>
      </w:r>
      <w:r w:rsidRPr="009434B4">
        <w:rPr>
          <w:rFonts w:ascii="Verdana" w:hAnsi="Verdana"/>
          <w:sz w:val="20"/>
          <w:szCs w:val="20"/>
        </w:rPr>
        <w:t>Tie payments to milestones or benchmarks s</w:t>
      </w:r>
      <w:r w:rsidR="00566BE7" w:rsidRPr="009434B4">
        <w:rPr>
          <w:rFonts w:ascii="Verdana" w:hAnsi="Verdana"/>
          <w:sz w:val="20"/>
          <w:szCs w:val="20"/>
        </w:rPr>
        <w:t>uch as inspections, delivery of services, installation of equipment, acceptance of the equipment</w:t>
      </w:r>
      <w:r w:rsidRPr="009434B4">
        <w:rPr>
          <w:rFonts w:ascii="Verdana" w:hAnsi="Verdana"/>
          <w:sz w:val="20"/>
          <w:szCs w:val="20"/>
        </w:rPr>
        <w:t>, an</w:t>
      </w:r>
      <w:r w:rsidR="00FF4E1A" w:rsidRPr="009434B4">
        <w:rPr>
          <w:rFonts w:ascii="Verdana" w:hAnsi="Verdana"/>
          <w:sz w:val="20"/>
          <w:szCs w:val="20"/>
        </w:rPr>
        <w:t>d</w:t>
      </w:r>
      <w:r w:rsidRPr="009434B4">
        <w:rPr>
          <w:rFonts w:ascii="Verdana" w:hAnsi="Verdana"/>
          <w:sz w:val="20"/>
          <w:szCs w:val="20"/>
        </w:rPr>
        <w:t>/or expiration of the warranty period. The College should also avoid annual payments of agreed upon support fees for extended periods in advance. Quarterly payments are preferred.</w:t>
      </w:r>
    </w:p>
    <w:p w14:paraId="0C914F8D" w14:textId="77777777" w:rsidR="00566BE7" w:rsidRPr="009434B4" w:rsidRDefault="00FF4E1A" w:rsidP="00211E78">
      <w:pPr>
        <w:numPr>
          <w:ilvl w:val="0"/>
          <w:numId w:val="6"/>
        </w:numPr>
        <w:rPr>
          <w:rFonts w:ascii="Verdana" w:hAnsi="Verdana"/>
          <w:b/>
          <w:sz w:val="20"/>
          <w:szCs w:val="20"/>
        </w:rPr>
      </w:pPr>
      <w:r w:rsidRPr="009434B4">
        <w:rPr>
          <w:rFonts w:ascii="Verdana" w:hAnsi="Verdana"/>
          <w:sz w:val="20"/>
          <w:szCs w:val="20"/>
        </w:rPr>
        <w:t>Ensure that billable charges</w:t>
      </w:r>
      <w:r w:rsidR="00566BE7" w:rsidRPr="009434B4">
        <w:rPr>
          <w:rFonts w:ascii="Verdana" w:hAnsi="Verdana"/>
          <w:sz w:val="20"/>
          <w:szCs w:val="20"/>
        </w:rPr>
        <w:t xml:space="preserve"> in excess of contractual amounts are specified. (for example, parts, overtime labor charges)</w:t>
      </w:r>
    </w:p>
    <w:p w14:paraId="3DA59782" w14:textId="77777777" w:rsidR="005A798F" w:rsidRPr="009434B4" w:rsidRDefault="00FF4E1A" w:rsidP="00211E78">
      <w:pPr>
        <w:numPr>
          <w:ilvl w:val="0"/>
          <w:numId w:val="6"/>
        </w:numPr>
        <w:rPr>
          <w:rFonts w:ascii="Verdana" w:hAnsi="Verdana"/>
          <w:b/>
          <w:sz w:val="20"/>
          <w:szCs w:val="20"/>
        </w:rPr>
      </w:pPr>
      <w:r w:rsidRPr="009434B4">
        <w:rPr>
          <w:rFonts w:ascii="Verdana" w:hAnsi="Verdana"/>
          <w:sz w:val="20"/>
          <w:szCs w:val="20"/>
        </w:rPr>
        <w:t>Avoid contracts that automatically renew for additional periods of time without notice from vendor</w:t>
      </w:r>
      <w:r w:rsidR="005A798F" w:rsidRPr="009434B4">
        <w:rPr>
          <w:rFonts w:ascii="Verdana" w:hAnsi="Verdana"/>
          <w:sz w:val="20"/>
          <w:szCs w:val="20"/>
        </w:rPr>
        <w:br/>
      </w:r>
    </w:p>
    <w:p w14:paraId="14B2346A" w14:textId="77777777" w:rsidR="005A798F" w:rsidRPr="009434B4" w:rsidRDefault="005A798F" w:rsidP="00211E78">
      <w:pPr>
        <w:numPr>
          <w:ilvl w:val="0"/>
          <w:numId w:val="4"/>
        </w:numPr>
        <w:tabs>
          <w:tab w:val="clear" w:pos="1080"/>
          <w:tab w:val="num" w:pos="360"/>
        </w:tabs>
        <w:ind w:left="360"/>
        <w:rPr>
          <w:rFonts w:ascii="Verdana" w:hAnsi="Verdana"/>
          <w:sz w:val="20"/>
          <w:szCs w:val="20"/>
        </w:rPr>
      </w:pPr>
      <w:r w:rsidRPr="009434B4">
        <w:rPr>
          <w:rFonts w:ascii="Verdana" w:hAnsi="Verdana"/>
          <w:b/>
          <w:sz w:val="20"/>
          <w:szCs w:val="20"/>
        </w:rPr>
        <w:t>Functionality</w:t>
      </w:r>
      <w:r w:rsidR="00005068" w:rsidRPr="009434B4">
        <w:rPr>
          <w:rFonts w:ascii="Verdana" w:hAnsi="Verdana"/>
          <w:b/>
          <w:sz w:val="20"/>
          <w:szCs w:val="20"/>
        </w:rPr>
        <w:t>:</w:t>
      </w:r>
      <w:r w:rsidRPr="009434B4">
        <w:rPr>
          <w:rFonts w:ascii="Verdana" w:hAnsi="Verdana"/>
          <w:sz w:val="20"/>
          <w:szCs w:val="20"/>
        </w:rPr>
        <w:t xml:space="preserve"> The agreement should define how the equipment will function, and tie support/maintenance services to this level of functionality.  Reference to equipment manuals for the definition of functionality usually suffices.</w:t>
      </w:r>
      <w:r w:rsidRPr="009434B4">
        <w:rPr>
          <w:rFonts w:ascii="Verdana" w:hAnsi="Verdana"/>
          <w:sz w:val="20"/>
          <w:szCs w:val="20"/>
        </w:rPr>
        <w:br/>
      </w:r>
    </w:p>
    <w:p w14:paraId="1391865A" w14:textId="77777777" w:rsidR="00005068" w:rsidRPr="009434B4" w:rsidRDefault="005A798F" w:rsidP="00211E78">
      <w:pPr>
        <w:numPr>
          <w:ilvl w:val="0"/>
          <w:numId w:val="4"/>
        </w:numPr>
        <w:tabs>
          <w:tab w:val="clear" w:pos="1080"/>
          <w:tab w:val="num" w:pos="360"/>
        </w:tabs>
        <w:ind w:hanging="1080"/>
        <w:rPr>
          <w:rFonts w:ascii="Verdana" w:hAnsi="Verdana"/>
          <w:sz w:val="20"/>
          <w:szCs w:val="20"/>
        </w:rPr>
      </w:pPr>
      <w:r w:rsidRPr="009434B4">
        <w:rPr>
          <w:rFonts w:ascii="Verdana" w:hAnsi="Verdana"/>
          <w:b/>
          <w:sz w:val="20"/>
          <w:szCs w:val="20"/>
        </w:rPr>
        <w:t>Maintenance Service Availability</w:t>
      </w:r>
      <w:r w:rsidR="00005068" w:rsidRPr="009434B4">
        <w:rPr>
          <w:rFonts w:ascii="Verdana" w:hAnsi="Verdana"/>
          <w:sz w:val="20"/>
          <w:szCs w:val="20"/>
        </w:rPr>
        <w:t>:</w:t>
      </w:r>
      <w:r w:rsidRPr="009434B4">
        <w:rPr>
          <w:rFonts w:ascii="Verdana" w:hAnsi="Verdana"/>
          <w:sz w:val="20"/>
          <w:szCs w:val="20"/>
        </w:rPr>
        <w:t xml:space="preserve"> </w:t>
      </w:r>
    </w:p>
    <w:p w14:paraId="50DBD4E1" w14:textId="77777777" w:rsidR="00005068" w:rsidRPr="009434B4" w:rsidRDefault="00005068" w:rsidP="00566BE7">
      <w:pPr>
        <w:numPr>
          <w:ilvl w:val="0"/>
          <w:numId w:val="4"/>
        </w:numPr>
        <w:tabs>
          <w:tab w:val="clear" w:pos="1080"/>
          <w:tab w:val="num" w:pos="360"/>
        </w:tabs>
        <w:ind w:left="360"/>
        <w:rPr>
          <w:rFonts w:ascii="Verdana" w:hAnsi="Verdana"/>
          <w:sz w:val="20"/>
          <w:szCs w:val="20"/>
        </w:rPr>
      </w:pPr>
      <w:r w:rsidRPr="009434B4">
        <w:rPr>
          <w:rFonts w:ascii="Verdana" w:hAnsi="Verdana"/>
          <w:sz w:val="20"/>
          <w:szCs w:val="20"/>
        </w:rPr>
        <w:t xml:space="preserve"> </w:t>
      </w:r>
      <w:r w:rsidR="005A798F" w:rsidRPr="009434B4">
        <w:rPr>
          <w:rFonts w:ascii="Verdana" w:hAnsi="Verdana"/>
          <w:sz w:val="20"/>
          <w:szCs w:val="20"/>
        </w:rPr>
        <w:t>The agreement should define when the vendor will be available to respond to service calls (</w:t>
      </w:r>
      <w:proofErr w:type="spellStart"/>
      <w:r w:rsidR="005A798F" w:rsidRPr="009434B4">
        <w:rPr>
          <w:rFonts w:ascii="Verdana" w:hAnsi="Verdana"/>
          <w:sz w:val="20"/>
          <w:szCs w:val="20"/>
        </w:rPr>
        <w:t>ie</w:t>
      </w:r>
      <w:proofErr w:type="spellEnd"/>
      <w:r w:rsidR="005A798F" w:rsidRPr="009434B4">
        <w:rPr>
          <w:rFonts w:ascii="Verdana" w:hAnsi="Verdana"/>
          <w:sz w:val="20"/>
          <w:szCs w:val="20"/>
        </w:rPr>
        <w:t>: 24/7</w:t>
      </w:r>
      <w:r w:rsidRPr="009434B4">
        <w:rPr>
          <w:rFonts w:ascii="Verdana" w:hAnsi="Verdana"/>
          <w:sz w:val="20"/>
          <w:szCs w:val="20"/>
        </w:rPr>
        <w:t>, 9-5 EST Monday-Friday, etc.).</w:t>
      </w:r>
    </w:p>
    <w:p w14:paraId="1C829FB2" w14:textId="77777777" w:rsidR="00005068" w:rsidRPr="009434B4" w:rsidRDefault="005A798F" w:rsidP="00566BE7">
      <w:pPr>
        <w:numPr>
          <w:ilvl w:val="0"/>
          <w:numId w:val="4"/>
        </w:numPr>
        <w:tabs>
          <w:tab w:val="clear" w:pos="1080"/>
          <w:tab w:val="num" w:pos="360"/>
        </w:tabs>
        <w:ind w:left="360"/>
        <w:rPr>
          <w:rFonts w:ascii="Verdana" w:hAnsi="Verdana"/>
          <w:sz w:val="20"/>
          <w:szCs w:val="20"/>
        </w:rPr>
      </w:pPr>
      <w:r w:rsidRPr="009434B4">
        <w:rPr>
          <w:rFonts w:ascii="Verdana" w:hAnsi="Verdana"/>
          <w:sz w:val="20"/>
          <w:szCs w:val="20"/>
        </w:rPr>
        <w:t>The agreement should state how quickly the vendor</w:t>
      </w:r>
      <w:r w:rsidR="00005068" w:rsidRPr="009434B4">
        <w:rPr>
          <w:rFonts w:ascii="Verdana" w:hAnsi="Verdana"/>
          <w:sz w:val="20"/>
          <w:szCs w:val="20"/>
        </w:rPr>
        <w:t xml:space="preserve"> will respond to service calls.</w:t>
      </w:r>
    </w:p>
    <w:p w14:paraId="5A352EFA" w14:textId="77777777" w:rsidR="00005068" w:rsidRPr="009434B4" w:rsidRDefault="005A798F" w:rsidP="00566BE7">
      <w:pPr>
        <w:numPr>
          <w:ilvl w:val="0"/>
          <w:numId w:val="4"/>
        </w:numPr>
        <w:tabs>
          <w:tab w:val="clear" w:pos="1080"/>
          <w:tab w:val="num" w:pos="360"/>
        </w:tabs>
        <w:ind w:left="360"/>
        <w:rPr>
          <w:rFonts w:ascii="Verdana" w:hAnsi="Verdana"/>
          <w:sz w:val="20"/>
          <w:szCs w:val="20"/>
        </w:rPr>
      </w:pPr>
      <w:r w:rsidRPr="009434B4">
        <w:rPr>
          <w:rFonts w:ascii="Verdana" w:hAnsi="Verdana"/>
          <w:sz w:val="20"/>
          <w:szCs w:val="20"/>
        </w:rPr>
        <w:t>The agreement should state what type of response the vendor will provide to service calls (for example, help-desk phone support, e-mail support, remote access to comput</w:t>
      </w:r>
      <w:r w:rsidR="00005068" w:rsidRPr="009434B4">
        <w:rPr>
          <w:rFonts w:ascii="Verdana" w:hAnsi="Verdana"/>
          <w:sz w:val="20"/>
          <w:szCs w:val="20"/>
        </w:rPr>
        <w:t xml:space="preserve">er systems, on-site support).  </w:t>
      </w:r>
    </w:p>
    <w:p w14:paraId="45581951" w14:textId="5C46E53B" w:rsidR="00566BE7" w:rsidRPr="009434B4" w:rsidRDefault="005A798F" w:rsidP="00566BE7">
      <w:pPr>
        <w:numPr>
          <w:ilvl w:val="0"/>
          <w:numId w:val="4"/>
        </w:numPr>
        <w:tabs>
          <w:tab w:val="clear" w:pos="1080"/>
          <w:tab w:val="num" w:pos="360"/>
        </w:tabs>
        <w:ind w:left="360"/>
        <w:rPr>
          <w:rFonts w:ascii="Verdana" w:hAnsi="Verdana"/>
          <w:sz w:val="20"/>
          <w:szCs w:val="20"/>
        </w:rPr>
      </w:pPr>
      <w:r w:rsidRPr="009434B4">
        <w:rPr>
          <w:rFonts w:ascii="Verdana" w:hAnsi="Verdana"/>
          <w:sz w:val="20"/>
          <w:szCs w:val="20"/>
        </w:rPr>
        <w:t>Frequently, an agreement will define how critical a problem is (</w:t>
      </w:r>
      <w:proofErr w:type="spellStart"/>
      <w:r w:rsidRPr="009434B4">
        <w:rPr>
          <w:rFonts w:ascii="Verdana" w:hAnsi="Verdana"/>
          <w:sz w:val="20"/>
          <w:szCs w:val="20"/>
        </w:rPr>
        <w:t>ie</w:t>
      </w:r>
      <w:proofErr w:type="spellEnd"/>
      <w:r w:rsidRPr="009434B4">
        <w:rPr>
          <w:rFonts w:ascii="Verdana" w:hAnsi="Verdana"/>
          <w:sz w:val="20"/>
          <w:szCs w:val="20"/>
        </w:rPr>
        <w:t>: basic questions, moderate error, critical error), and base its response time and mode of response on how critical or fatal the problem is.  For instance, routine questions might warrant a phone call or e-mail support within a day or so, while situations where equipment is non-functional might warrant someone from the vendor coming on-site to diagnose and fix the problem within a few hours.</w:t>
      </w:r>
    </w:p>
    <w:p w14:paraId="5FD012DD" w14:textId="77777777" w:rsidR="00566BE7" w:rsidRPr="009434B4" w:rsidRDefault="00005068" w:rsidP="00566BE7">
      <w:pPr>
        <w:numPr>
          <w:ilvl w:val="0"/>
          <w:numId w:val="4"/>
        </w:numPr>
        <w:tabs>
          <w:tab w:val="clear" w:pos="1080"/>
          <w:tab w:val="num" w:pos="360"/>
        </w:tabs>
        <w:ind w:left="360"/>
        <w:rPr>
          <w:rFonts w:ascii="Verdana" w:hAnsi="Verdana"/>
          <w:sz w:val="20"/>
          <w:szCs w:val="20"/>
        </w:rPr>
      </w:pPr>
      <w:r w:rsidRPr="009434B4">
        <w:rPr>
          <w:rFonts w:ascii="Verdana" w:hAnsi="Verdana"/>
          <w:b/>
          <w:sz w:val="20"/>
          <w:szCs w:val="20"/>
        </w:rPr>
        <w:t>Warranties:</w:t>
      </w:r>
    </w:p>
    <w:p w14:paraId="4C708B57" w14:textId="77777777" w:rsidR="00566BE7" w:rsidRPr="009434B4" w:rsidRDefault="005A798F" w:rsidP="00566BE7">
      <w:pPr>
        <w:numPr>
          <w:ilvl w:val="0"/>
          <w:numId w:val="4"/>
        </w:numPr>
        <w:tabs>
          <w:tab w:val="clear" w:pos="1080"/>
          <w:tab w:val="num" w:pos="360"/>
        </w:tabs>
        <w:ind w:left="360"/>
        <w:rPr>
          <w:rFonts w:ascii="Verdana" w:hAnsi="Verdana"/>
          <w:sz w:val="20"/>
          <w:szCs w:val="20"/>
        </w:rPr>
      </w:pPr>
      <w:r w:rsidRPr="009434B4">
        <w:rPr>
          <w:rFonts w:ascii="Verdana" w:hAnsi="Verdana"/>
          <w:sz w:val="20"/>
          <w:szCs w:val="20"/>
        </w:rPr>
        <w:t xml:space="preserve">The vendor should represent and warrant that they will perform the services in a workmanlike manner, in accordance with the standards of care and diligence and the level of skill, knowledge and judgment normally practiced in the applicable industry.  </w:t>
      </w:r>
    </w:p>
    <w:p w14:paraId="149E6765" w14:textId="77777777" w:rsidR="00566BE7" w:rsidRPr="009434B4" w:rsidRDefault="005A798F" w:rsidP="00566BE7">
      <w:pPr>
        <w:numPr>
          <w:ilvl w:val="0"/>
          <w:numId w:val="4"/>
        </w:numPr>
        <w:tabs>
          <w:tab w:val="clear" w:pos="1080"/>
          <w:tab w:val="num" w:pos="360"/>
        </w:tabs>
        <w:ind w:left="360"/>
        <w:rPr>
          <w:rFonts w:ascii="Verdana" w:hAnsi="Verdana"/>
          <w:sz w:val="20"/>
          <w:szCs w:val="20"/>
        </w:rPr>
      </w:pPr>
      <w:r w:rsidRPr="009434B4">
        <w:rPr>
          <w:rFonts w:ascii="Verdana" w:hAnsi="Verdana"/>
          <w:sz w:val="20"/>
          <w:szCs w:val="20"/>
        </w:rPr>
        <w:t>The vendor should warrant that it will provide services within the applicable response times, and if the vendor fails to respond within such timeframes, the College should be entitled to a credit against future service/maintenance payments.</w:t>
      </w:r>
    </w:p>
    <w:p w14:paraId="1BF1388E" w14:textId="77777777" w:rsidR="00566BE7" w:rsidRPr="009434B4" w:rsidRDefault="00566BE7" w:rsidP="00566BE7">
      <w:pPr>
        <w:rPr>
          <w:rFonts w:ascii="Verdana" w:hAnsi="Verdana"/>
          <w:sz w:val="20"/>
          <w:szCs w:val="20"/>
        </w:rPr>
      </w:pPr>
    </w:p>
    <w:p w14:paraId="10134F2B" w14:textId="77777777" w:rsidR="00566BE7" w:rsidRPr="009434B4" w:rsidRDefault="005A798F" w:rsidP="00566BE7">
      <w:pPr>
        <w:numPr>
          <w:ilvl w:val="0"/>
          <w:numId w:val="4"/>
        </w:numPr>
        <w:tabs>
          <w:tab w:val="clear" w:pos="1080"/>
          <w:tab w:val="num" w:pos="360"/>
        </w:tabs>
        <w:ind w:left="360"/>
        <w:rPr>
          <w:rFonts w:ascii="Verdana" w:hAnsi="Verdana"/>
          <w:sz w:val="20"/>
          <w:szCs w:val="20"/>
        </w:rPr>
      </w:pPr>
      <w:r w:rsidRPr="009434B4">
        <w:rPr>
          <w:rFonts w:ascii="Verdana" w:hAnsi="Verdana"/>
          <w:b/>
          <w:sz w:val="20"/>
          <w:szCs w:val="20"/>
        </w:rPr>
        <w:t>Indemnification</w:t>
      </w:r>
      <w:r w:rsidR="00005068" w:rsidRPr="009434B4">
        <w:rPr>
          <w:rFonts w:ascii="Verdana" w:hAnsi="Verdana"/>
          <w:b/>
          <w:sz w:val="20"/>
          <w:szCs w:val="20"/>
        </w:rPr>
        <w:t>:</w:t>
      </w:r>
      <w:r w:rsidRPr="009434B4">
        <w:rPr>
          <w:rFonts w:ascii="Verdana" w:hAnsi="Verdana"/>
          <w:sz w:val="20"/>
          <w:szCs w:val="20"/>
        </w:rPr>
        <w:t xml:space="preserve">  If the vendor's personnel will provide services on the College's campus, the vendor should indemnify and hold harmless the College against negligent </w:t>
      </w:r>
      <w:r w:rsidR="00EE74FB" w:rsidRPr="009434B4">
        <w:rPr>
          <w:rFonts w:ascii="Verdana" w:hAnsi="Verdana"/>
          <w:sz w:val="20"/>
          <w:szCs w:val="20"/>
        </w:rPr>
        <w:t>or willful</w:t>
      </w:r>
      <w:r w:rsidR="00566BE7" w:rsidRPr="009434B4">
        <w:rPr>
          <w:rFonts w:ascii="Verdana" w:hAnsi="Verdana"/>
          <w:sz w:val="20"/>
          <w:szCs w:val="20"/>
        </w:rPr>
        <w:t xml:space="preserve"> conduct by the vendor’s personnel while on the campus.</w:t>
      </w:r>
    </w:p>
    <w:p w14:paraId="4FD0E535" w14:textId="77777777" w:rsidR="00566BE7" w:rsidRPr="009434B4" w:rsidRDefault="00566BE7" w:rsidP="00566BE7">
      <w:pPr>
        <w:rPr>
          <w:rFonts w:ascii="Verdana" w:hAnsi="Verdana"/>
          <w:b/>
          <w:sz w:val="20"/>
          <w:szCs w:val="20"/>
        </w:rPr>
      </w:pPr>
    </w:p>
    <w:p w14:paraId="1BF61220" w14:textId="77777777" w:rsidR="005A798F" w:rsidRDefault="005A798F" w:rsidP="00566BE7">
      <w:pPr>
        <w:numPr>
          <w:ilvl w:val="0"/>
          <w:numId w:val="4"/>
        </w:numPr>
        <w:tabs>
          <w:tab w:val="clear" w:pos="1080"/>
          <w:tab w:val="num" w:pos="360"/>
        </w:tabs>
        <w:ind w:left="360"/>
        <w:rPr>
          <w:rFonts w:ascii="Verdana" w:hAnsi="Verdana"/>
          <w:sz w:val="20"/>
          <w:szCs w:val="20"/>
        </w:rPr>
      </w:pPr>
      <w:r w:rsidRPr="009434B4">
        <w:rPr>
          <w:rFonts w:ascii="Verdana" w:hAnsi="Verdana"/>
          <w:b/>
          <w:sz w:val="20"/>
          <w:szCs w:val="20"/>
        </w:rPr>
        <w:t>Confidentiality</w:t>
      </w:r>
      <w:r w:rsidR="00005068" w:rsidRPr="009434B4">
        <w:rPr>
          <w:rFonts w:ascii="Verdana" w:hAnsi="Verdana"/>
          <w:b/>
          <w:sz w:val="20"/>
          <w:szCs w:val="20"/>
        </w:rPr>
        <w:t>:</w:t>
      </w:r>
      <w:r w:rsidRPr="009434B4">
        <w:rPr>
          <w:rFonts w:ascii="Verdana" w:hAnsi="Verdana"/>
          <w:sz w:val="20"/>
          <w:szCs w:val="20"/>
        </w:rPr>
        <w:t xml:space="preserve">  The vendor must protect the College's confidential information.</w:t>
      </w:r>
      <w:r w:rsidRPr="009434B4">
        <w:rPr>
          <w:rFonts w:ascii="Verdana" w:hAnsi="Verdana"/>
          <w:sz w:val="20"/>
          <w:szCs w:val="20"/>
        </w:rPr>
        <w:br/>
      </w:r>
    </w:p>
    <w:p w14:paraId="4A22105E" w14:textId="77777777" w:rsidR="009434B4" w:rsidRPr="009434B4" w:rsidRDefault="009434B4" w:rsidP="009434B4">
      <w:pPr>
        <w:ind w:left="360"/>
        <w:rPr>
          <w:rFonts w:ascii="Verdana" w:hAnsi="Verdana"/>
          <w:b/>
          <w:sz w:val="20"/>
          <w:szCs w:val="20"/>
        </w:rPr>
      </w:pPr>
      <w:r w:rsidRPr="009434B4">
        <w:rPr>
          <w:rFonts w:ascii="Verdana" w:hAnsi="Verdana"/>
          <w:b/>
          <w:sz w:val="20"/>
          <w:szCs w:val="20"/>
        </w:rPr>
        <w:t>End</w:t>
      </w:r>
    </w:p>
    <w:sectPr w:rsidR="009434B4" w:rsidRPr="009434B4" w:rsidSect="00FF4E1A">
      <w:pgSz w:w="12240" w:h="15840"/>
      <w:pgMar w:top="540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E5EB1"/>
    <w:multiLevelType w:val="hybridMultilevel"/>
    <w:tmpl w:val="D85848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010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D640F3A"/>
    <w:multiLevelType w:val="hybridMultilevel"/>
    <w:tmpl w:val="71845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D903B2"/>
    <w:multiLevelType w:val="hybridMultilevel"/>
    <w:tmpl w:val="D408B8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4C4623"/>
    <w:multiLevelType w:val="hybridMultilevel"/>
    <w:tmpl w:val="E48422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D65E6"/>
    <w:multiLevelType w:val="hybridMultilevel"/>
    <w:tmpl w:val="48600B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8F"/>
    <w:rsid w:val="00005068"/>
    <w:rsid w:val="000112C0"/>
    <w:rsid w:val="001129DD"/>
    <w:rsid w:val="00211E78"/>
    <w:rsid w:val="00566BE7"/>
    <w:rsid w:val="005A798F"/>
    <w:rsid w:val="008F5287"/>
    <w:rsid w:val="009434B4"/>
    <w:rsid w:val="00CA70CD"/>
    <w:rsid w:val="00CB7591"/>
    <w:rsid w:val="00D31412"/>
    <w:rsid w:val="00EE74FB"/>
    <w:rsid w:val="00FF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E9DAD8"/>
  <w15:chartTrackingRefBased/>
  <w15:docId w15:val="{E4178B51-CEAF-DF46-B27C-9CC90E64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2605</Characters>
  <Application>Microsoft Office Word</Application>
  <DocSecurity>0</DocSecurity>
  <Lines>55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L</vt:lpstr>
    </vt:vector>
  </TitlesOfParts>
  <Manager/>
  <Company>Gettysburg College</Company>
  <LinksUpToDate>false</LinksUpToDate>
  <CharactersWithSpaces>3033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Contract Checklist</dc:title>
  <dc:subject/>
  <dc:creator>Information Technology</dc:creator>
  <cp:keywords/>
  <dc:description/>
  <cp:lastModifiedBy>Microsoft Office User</cp:lastModifiedBy>
  <cp:revision>3</cp:revision>
  <dcterms:created xsi:type="dcterms:W3CDTF">2020-01-23T14:06:00Z</dcterms:created>
  <dcterms:modified xsi:type="dcterms:W3CDTF">2020-01-23T14:33:00Z</dcterms:modified>
  <cp:category/>
</cp:coreProperties>
</file>